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513" w:rsidRPr="00056513" w:rsidRDefault="00056513" w:rsidP="00056513">
      <w:pPr>
        <w:spacing w:after="0" w:line="240" w:lineRule="auto"/>
        <w:ind w:left="720"/>
        <w:jc w:val="center"/>
        <w:rPr>
          <w:rFonts w:ascii="Times New Roman" w:eastAsia="Times New Roman" w:hAnsi="Times New Roman" w:cs="Times New Roman"/>
          <w:sz w:val="24"/>
          <w:szCs w:val="24"/>
          <w:lang w:eastAsia="uk-UA"/>
        </w:rPr>
      </w:pPr>
      <w:r w:rsidRPr="00056513">
        <w:rPr>
          <w:rFonts w:ascii="Arial" w:eastAsia="Times New Roman" w:hAnsi="Arial" w:cs="Arial"/>
          <w:b/>
          <w:bCs/>
          <w:color w:val="000000"/>
          <w:lang w:eastAsia="uk-UA"/>
        </w:rPr>
        <w:t>ІНФОРМАЦІЯ </w:t>
      </w:r>
    </w:p>
    <w:p w:rsidR="00056513" w:rsidRPr="00056513" w:rsidRDefault="00056513" w:rsidP="00056513">
      <w:pPr>
        <w:spacing w:after="0" w:line="240" w:lineRule="auto"/>
        <w:ind w:left="720"/>
        <w:jc w:val="center"/>
        <w:rPr>
          <w:rFonts w:ascii="Times New Roman" w:eastAsia="Times New Roman" w:hAnsi="Times New Roman" w:cs="Times New Roman"/>
          <w:sz w:val="24"/>
          <w:szCs w:val="24"/>
          <w:lang w:eastAsia="uk-UA"/>
        </w:rPr>
      </w:pPr>
      <w:r w:rsidRPr="00056513">
        <w:rPr>
          <w:rFonts w:ascii="Arial" w:eastAsia="Times New Roman" w:hAnsi="Arial" w:cs="Arial"/>
          <w:b/>
          <w:bCs/>
          <w:color w:val="000000"/>
          <w:lang w:eastAsia="uk-UA"/>
        </w:rPr>
        <w:t>ЩОДО ПОРЯДКУ ПОДАННЯ СПОЖИВАЧАМИ ЗВЕРНЕНЬ, СКАРГ, ПРЕТЕНЗІЙ, НАДАННЯ ПОВІДОМЛЕНЬ ПРО ЗАГРОЗУ ЕЛЕКТРОБЕЗПЕЦІ ТА ЇХ РОЗГЛЯДУ</w:t>
      </w:r>
    </w:p>
    <w:p w:rsidR="00056513" w:rsidRPr="00056513" w:rsidRDefault="00056513" w:rsidP="00056513">
      <w:pPr>
        <w:spacing w:after="0" w:line="240" w:lineRule="auto"/>
        <w:rPr>
          <w:rFonts w:ascii="Times New Roman" w:eastAsia="Times New Roman" w:hAnsi="Times New Roman" w:cs="Times New Roman"/>
          <w:sz w:val="24"/>
          <w:szCs w:val="24"/>
          <w:lang w:eastAsia="uk-UA"/>
        </w:rPr>
      </w:pP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 xml:space="preserve">Законом України «Про звернення громадян» визначаються загальні засади реалізації права громадян на звернення, яким передбачається право звернутися до органів державної влади, </w:t>
      </w:r>
      <w:proofErr w:type="spellStart"/>
      <w:r w:rsidRPr="00056513">
        <w:rPr>
          <w:rFonts w:ascii="Arial" w:eastAsia="Times New Roman" w:hAnsi="Arial" w:cs="Arial"/>
          <w:color w:val="000000"/>
          <w:sz w:val="21"/>
          <w:szCs w:val="21"/>
          <w:lang w:eastAsia="uk-UA"/>
        </w:rPr>
        <w:t>ісцевого</w:t>
      </w:r>
      <w:proofErr w:type="spellEnd"/>
      <w:r w:rsidRPr="00056513">
        <w:rPr>
          <w:rFonts w:ascii="Arial" w:eastAsia="Times New Roman" w:hAnsi="Arial" w:cs="Arial"/>
          <w:color w:val="000000"/>
          <w:sz w:val="21"/>
          <w:szCs w:val="21"/>
          <w:lang w:eastAsia="uk-UA"/>
        </w:rPr>
        <w:t xml:space="preserve"> самоврядування, об'єднань громадян, підприємств, установ, організацій незалежно від форм власності, до засобів масової інформації, посадових осіб відповідно до їх функціональних обов'язків із зауваженнями, скаргами та пропозиціями, що стосуються їхньої статутної діяльності, заявою або клопотанням щодо реалізації своїх </w:t>
      </w:r>
      <w:proofErr w:type="spellStart"/>
      <w:r w:rsidRPr="00056513">
        <w:rPr>
          <w:rFonts w:ascii="Arial" w:eastAsia="Times New Roman" w:hAnsi="Arial" w:cs="Arial"/>
          <w:color w:val="000000"/>
          <w:sz w:val="21"/>
          <w:szCs w:val="21"/>
          <w:lang w:eastAsia="uk-UA"/>
        </w:rPr>
        <w:t>соціальноекономічних</w:t>
      </w:r>
      <w:proofErr w:type="spellEnd"/>
      <w:r w:rsidRPr="00056513">
        <w:rPr>
          <w:rFonts w:ascii="Arial" w:eastAsia="Times New Roman" w:hAnsi="Arial" w:cs="Arial"/>
          <w:color w:val="000000"/>
          <w:sz w:val="21"/>
          <w:szCs w:val="21"/>
          <w:lang w:eastAsia="uk-UA"/>
        </w:rPr>
        <w:t>, політичних та особистих прав і законних інтересів та скаргою про їх порушення.</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Відповідно до Закону під зверненнями громадян слід розуміти викладені в письмовій або усній формі пропозиції (зауваження), заяви (клопотання) і скарги.</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Звернення може бути усним (викладеним громадянином і записаним посадовою особою на особистому прийомі) чи письмовим, надісланим поштою або переданим громадянином до відповідного органу, установи особисто чи через уповноважену ним особу, якщо ці повноваження оформлені відповідно до чинного законодавства. Звернення може бути подано як окремою особою (індивідуальне), так і групою осіб (колективне).</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i/>
          <w:iCs/>
          <w:color w:val="000000"/>
          <w:sz w:val="21"/>
          <w:szCs w:val="21"/>
          <w:lang w:eastAsia="uk-UA"/>
        </w:rPr>
        <w:t>Окрім того, Закон встановлює наступні вимоги до звернення:</w:t>
      </w:r>
    </w:p>
    <w:p w:rsidR="00056513" w:rsidRPr="00056513" w:rsidRDefault="00056513" w:rsidP="00056513">
      <w:pPr>
        <w:numPr>
          <w:ilvl w:val="0"/>
          <w:numId w:val="1"/>
        </w:numPr>
        <w:spacing w:after="0" w:line="240" w:lineRule="auto"/>
        <w:ind w:left="1440"/>
        <w:jc w:val="both"/>
        <w:textAlignment w:val="baseline"/>
        <w:rPr>
          <w:rFonts w:ascii="Arial" w:eastAsia="Times New Roman" w:hAnsi="Arial" w:cs="Arial"/>
          <w:color w:val="000000"/>
          <w:sz w:val="21"/>
          <w:szCs w:val="21"/>
          <w:lang w:eastAsia="uk-UA"/>
        </w:rPr>
      </w:pPr>
      <w:r w:rsidRPr="00056513">
        <w:rPr>
          <w:rFonts w:ascii="Arial" w:eastAsia="Times New Roman" w:hAnsi="Arial" w:cs="Arial"/>
          <w:color w:val="000000"/>
          <w:sz w:val="21"/>
          <w:szCs w:val="21"/>
          <w:lang w:eastAsia="uk-UA"/>
        </w:rPr>
        <w:t>звернення адресуються органам державної влади і місцевого самоврядування, підприємствам, установам, організаціям незалежно від форм власності, об’єднанням громадян або посадовим особам, до повноважень яких належить вирішення порушених питань;</w:t>
      </w:r>
    </w:p>
    <w:p w:rsidR="00056513" w:rsidRPr="00056513" w:rsidRDefault="00056513" w:rsidP="00056513">
      <w:pPr>
        <w:numPr>
          <w:ilvl w:val="0"/>
          <w:numId w:val="1"/>
        </w:numPr>
        <w:spacing w:after="0" w:line="240" w:lineRule="auto"/>
        <w:ind w:left="1440"/>
        <w:jc w:val="both"/>
        <w:textAlignment w:val="baseline"/>
        <w:rPr>
          <w:rFonts w:ascii="Arial" w:eastAsia="Times New Roman" w:hAnsi="Arial" w:cs="Arial"/>
          <w:color w:val="000000"/>
          <w:sz w:val="21"/>
          <w:szCs w:val="21"/>
          <w:lang w:eastAsia="uk-UA"/>
        </w:rPr>
      </w:pPr>
      <w:r w:rsidRPr="00056513">
        <w:rPr>
          <w:rFonts w:ascii="Arial" w:eastAsia="Times New Roman" w:hAnsi="Arial" w:cs="Arial"/>
          <w:color w:val="000000"/>
          <w:sz w:val="21"/>
          <w:szCs w:val="21"/>
          <w:lang w:eastAsia="uk-UA"/>
        </w:rPr>
        <w:t>у зверненні має бути зазначено прізвище, ім’я, по батькові, місце проживання громадянина;</w:t>
      </w:r>
    </w:p>
    <w:p w:rsidR="00056513" w:rsidRPr="00056513" w:rsidRDefault="00056513" w:rsidP="00056513">
      <w:pPr>
        <w:numPr>
          <w:ilvl w:val="0"/>
          <w:numId w:val="1"/>
        </w:numPr>
        <w:spacing w:after="0" w:line="240" w:lineRule="auto"/>
        <w:ind w:left="1440"/>
        <w:jc w:val="both"/>
        <w:textAlignment w:val="baseline"/>
        <w:rPr>
          <w:rFonts w:ascii="Arial" w:eastAsia="Times New Roman" w:hAnsi="Arial" w:cs="Arial"/>
          <w:color w:val="000000"/>
          <w:sz w:val="21"/>
          <w:szCs w:val="21"/>
          <w:lang w:eastAsia="uk-UA"/>
        </w:rPr>
      </w:pPr>
      <w:r w:rsidRPr="00056513">
        <w:rPr>
          <w:rFonts w:ascii="Arial" w:eastAsia="Times New Roman" w:hAnsi="Arial" w:cs="Arial"/>
          <w:color w:val="000000"/>
          <w:sz w:val="21"/>
          <w:szCs w:val="21"/>
          <w:lang w:eastAsia="uk-UA"/>
        </w:rPr>
        <w:t>викладено суть порушеного питання, зауваження, пропозиції, заяви чи скарги, прохання чи вимоги;</w:t>
      </w:r>
    </w:p>
    <w:p w:rsidR="00056513" w:rsidRPr="00056513" w:rsidRDefault="00056513" w:rsidP="00056513">
      <w:pPr>
        <w:numPr>
          <w:ilvl w:val="0"/>
          <w:numId w:val="1"/>
        </w:numPr>
        <w:spacing w:after="0" w:line="240" w:lineRule="auto"/>
        <w:ind w:left="1440"/>
        <w:jc w:val="both"/>
        <w:textAlignment w:val="baseline"/>
        <w:rPr>
          <w:rFonts w:ascii="Arial" w:eastAsia="Times New Roman" w:hAnsi="Arial" w:cs="Arial"/>
          <w:color w:val="000000"/>
          <w:sz w:val="21"/>
          <w:szCs w:val="21"/>
          <w:lang w:eastAsia="uk-UA"/>
        </w:rPr>
      </w:pPr>
      <w:r w:rsidRPr="00056513">
        <w:rPr>
          <w:rFonts w:ascii="Arial" w:eastAsia="Times New Roman" w:hAnsi="Arial" w:cs="Arial"/>
          <w:color w:val="000000"/>
          <w:sz w:val="21"/>
          <w:szCs w:val="21"/>
          <w:lang w:eastAsia="uk-UA"/>
        </w:rPr>
        <w:t>письмове звернення повинно бути підписано заявником (заявниками) із зазначенням дати. </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Звернення, оформлене без дотримання цих вимог, повертається заявникові з відповідними роз’ясненнями не пізніше як через десять днів від дня його надходження. Варто зауважити, що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Не розглядаються також повторні звернення одним і тим же органом від одного і того ж громадянина з одного і того ж питання, якщо перше вирішено по суті, а також звернення осіб, визнаних судом недієздатними.</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 xml:space="preserve">Крім того, якщо питання, порушені в зверненні, одержаному органом державної влади, місцевого самоврядування, підприємствами, установами, організаціями незалежно від форм власності, об’єднаннями громадян або посадовими особами, не входять до їх повноважень, таке звернення в термін не більше п’яти днів пересилається ними за належністю відповідному органу чи посадовій особі, про що повідомляється громадянину, який подав </w:t>
      </w:r>
      <w:proofErr w:type="spellStart"/>
      <w:r w:rsidRPr="00056513">
        <w:rPr>
          <w:rFonts w:ascii="Arial" w:eastAsia="Times New Roman" w:hAnsi="Arial" w:cs="Arial"/>
          <w:color w:val="000000"/>
          <w:sz w:val="21"/>
          <w:szCs w:val="21"/>
          <w:lang w:eastAsia="uk-UA"/>
        </w:rPr>
        <w:t>звернення.Стосовно</w:t>
      </w:r>
      <w:proofErr w:type="spellEnd"/>
      <w:r w:rsidRPr="00056513">
        <w:rPr>
          <w:rFonts w:ascii="Arial" w:eastAsia="Times New Roman" w:hAnsi="Arial" w:cs="Arial"/>
          <w:color w:val="000000"/>
          <w:sz w:val="21"/>
          <w:szCs w:val="21"/>
          <w:lang w:eastAsia="uk-UA"/>
        </w:rPr>
        <w:t xml:space="preserve"> строків розгляду звернень, Законом встановлено, що вони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відповідного органу, підприємства, установи, організації або його заступник встановлюють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На обґрунтовану письмову вимогу громадянина термін розгляду може бути скорочено від встановленого Законом терміну.</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Звернення громадян, які мають встановлені законодавством пільги, розглядаються у першочерговому порядку.</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Законом визначено, що органи державної влади, місцевого самоврядування, підприємства, установи, організації незалежно від форм власності, об’єднання громадян, посадові особи розглядають звернення громадян без стягнення за це плати.</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Крім того, Законом 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lastRenderedPageBreak/>
        <w:t>У випадку, якщо громадянин не отримав відповідь на своє звернення, він відповідно до статті 55 Конституції України має право на оскарження в суді рішень, дій чи бездіяльності органів державної влади, органів місцевого самоврядування, посадових і службових осіб.</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Всі спори та суперечки, що виникають з питань тлумачення і застосування Договору поставки електричної енергії або в зв'язку з ним, якості постачання електричної енергії або загрози електробезпеки, а також інші суперечки, які можуть виникнути при взаємодії між постачальником і споживачем, вирішуються шляхом переговорів у прозорий, справедливий і швидкий спосіб. Постачальник зобов'язаний розглянути усі скарги, отримані від споживачів, і протягом одного місяця повідомити про результати їх розгляду.</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У випадку недосягнення згоди шляхом переговорів, споживач має право звернутися із заявою про вирішення спору до Національної комісії, що здійснює державне регулювання у сферах енергетики та комунальних послуг (далі – Регулятор, НКРЕКП) у відповідності до статті 21 Закону України «Про Національну комісію, що здійснює державне регулювання у сферах енергетики та комунальних послуг» та/або передати спір на розгляд до суду у відповідності до чинного законодавства України.</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Функції та повноваження Регулятора. Регулятор забезпечує захист прав та законних інтересів споживачів товарів (послуг), які виробляються (надаються) суб’єктами господарювання, що провадять діяльність у сферах енергетики та комунальних послуг, розгляд звернень таких споживачів та врегулювання спорів, надання роз’яснень з питань застосування нормативно- правових актів Регулятора;</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Розгляд скарг та врегулювання спорів</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i/>
          <w:iCs/>
          <w:color w:val="000000"/>
          <w:sz w:val="21"/>
          <w:szCs w:val="21"/>
          <w:lang w:eastAsia="uk-UA"/>
        </w:rPr>
        <w:t>Регулятор розглядає скарги споживачів щодо порушення їхніх прав та інтересів суб’єктами господарювання, що провадять діяльність у сферах енергетики та комунальних послуг, а також вирішує спори, що виникають між суб’єктами господарювання, що провадять діяльність у сферах енергетики та комунальних послуг, з питань:</w:t>
      </w:r>
    </w:p>
    <w:p w:rsidR="00056513" w:rsidRPr="00056513" w:rsidRDefault="00056513" w:rsidP="00056513">
      <w:pPr>
        <w:numPr>
          <w:ilvl w:val="1"/>
          <w:numId w:val="2"/>
        </w:numPr>
        <w:spacing w:after="0" w:line="240" w:lineRule="auto"/>
        <w:textAlignment w:val="baseline"/>
        <w:rPr>
          <w:rFonts w:ascii="Arial" w:eastAsia="Times New Roman" w:hAnsi="Arial" w:cs="Arial"/>
          <w:color w:val="858585"/>
          <w:sz w:val="21"/>
          <w:szCs w:val="21"/>
          <w:lang w:eastAsia="uk-UA"/>
        </w:rPr>
      </w:pPr>
      <w:r w:rsidRPr="00056513">
        <w:rPr>
          <w:rFonts w:ascii="Arial" w:eastAsia="Times New Roman" w:hAnsi="Arial" w:cs="Arial"/>
          <w:color w:val="000000"/>
          <w:sz w:val="21"/>
          <w:szCs w:val="21"/>
          <w:lang w:eastAsia="uk-UA"/>
        </w:rPr>
        <w:t>доступу/приєднання до електричних, теплових та газових мереж, нафто- та продуктопроводів, мереж централізованого водопостачання і водовідведення;</w:t>
      </w:r>
    </w:p>
    <w:p w:rsidR="00056513" w:rsidRPr="00056513" w:rsidRDefault="00056513" w:rsidP="00056513">
      <w:pPr>
        <w:numPr>
          <w:ilvl w:val="1"/>
          <w:numId w:val="2"/>
        </w:numPr>
        <w:spacing w:after="0" w:line="240" w:lineRule="auto"/>
        <w:textAlignment w:val="baseline"/>
        <w:rPr>
          <w:rFonts w:ascii="Arial" w:eastAsia="Times New Roman" w:hAnsi="Arial" w:cs="Arial"/>
          <w:color w:val="858585"/>
          <w:sz w:val="21"/>
          <w:szCs w:val="21"/>
          <w:lang w:eastAsia="uk-UA"/>
        </w:rPr>
      </w:pPr>
      <w:r w:rsidRPr="00056513">
        <w:rPr>
          <w:rFonts w:ascii="Arial" w:eastAsia="Times New Roman" w:hAnsi="Arial" w:cs="Arial"/>
          <w:color w:val="000000"/>
          <w:sz w:val="21"/>
          <w:szCs w:val="21"/>
          <w:lang w:eastAsia="uk-UA"/>
        </w:rPr>
        <w:t>дотримання суб’єктами господарювання ліцензійних умов;</w:t>
      </w:r>
    </w:p>
    <w:p w:rsidR="00056513" w:rsidRPr="00056513" w:rsidRDefault="00056513" w:rsidP="00056513">
      <w:pPr>
        <w:numPr>
          <w:ilvl w:val="1"/>
          <w:numId w:val="2"/>
        </w:numPr>
        <w:spacing w:after="0" w:line="240" w:lineRule="auto"/>
        <w:textAlignment w:val="baseline"/>
        <w:rPr>
          <w:rFonts w:ascii="Arial" w:eastAsia="Times New Roman" w:hAnsi="Arial" w:cs="Arial"/>
          <w:color w:val="858585"/>
          <w:sz w:val="21"/>
          <w:szCs w:val="21"/>
          <w:lang w:eastAsia="uk-UA"/>
        </w:rPr>
      </w:pPr>
      <w:r w:rsidRPr="00056513">
        <w:rPr>
          <w:rFonts w:ascii="Arial" w:eastAsia="Times New Roman" w:hAnsi="Arial" w:cs="Arial"/>
          <w:color w:val="000000"/>
          <w:sz w:val="21"/>
          <w:szCs w:val="21"/>
          <w:lang w:eastAsia="uk-UA"/>
        </w:rPr>
        <w:t>якості товарів і послуг, що надаються споживачам у сферах енергетики та комунальних послуг;</w:t>
      </w:r>
    </w:p>
    <w:p w:rsidR="00056513" w:rsidRPr="00056513" w:rsidRDefault="00056513" w:rsidP="00056513">
      <w:pPr>
        <w:numPr>
          <w:ilvl w:val="1"/>
          <w:numId w:val="2"/>
        </w:numPr>
        <w:spacing w:after="0" w:line="240" w:lineRule="auto"/>
        <w:textAlignment w:val="baseline"/>
        <w:rPr>
          <w:rFonts w:ascii="Arial" w:eastAsia="Times New Roman" w:hAnsi="Arial" w:cs="Arial"/>
          <w:color w:val="858585"/>
          <w:sz w:val="21"/>
          <w:szCs w:val="21"/>
          <w:lang w:eastAsia="uk-UA"/>
        </w:rPr>
      </w:pPr>
      <w:r w:rsidRPr="00056513">
        <w:rPr>
          <w:rFonts w:ascii="Arial" w:eastAsia="Times New Roman" w:hAnsi="Arial" w:cs="Arial"/>
          <w:color w:val="000000"/>
          <w:sz w:val="21"/>
          <w:szCs w:val="21"/>
          <w:lang w:eastAsia="uk-UA"/>
        </w:rPr>
        <w:t>інших питань, розгляд яких віднесено законом до компетенції Регулятора.</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Регулятор розглядає скарги споживачів відповідно до Закону України "Про звернення громадян". Вирішення спорів, що виникають між суб’єктами господарювання, що провадять діяльність у сферах енергетики та комунальних послуг, здійснюється у порядку, затвердженому Регулятором.</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Під час розгляду скарг, вирішення спорів Регулятор має право вимагати від суб’єктів господарювання, що провадять діяльність у сферах енергетики та комунальних послуг, копії документів, пояснення та іншу інформацію, необхідні для встановлення фактичних обставин справи та врегулювання спорів.</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До прийняття рішення по суті спірного питання Регулятор може проводити попередні слухання із залученням заінтересованих осіб та, за потреби, проводити позапланові перевірки. Порядок проведення попередніх слухань визначається Регулятором.</w:t>
      </w:r>
    </w:p>
    <w:p w:rsidR="00056513" w:rsidRPr="00056513" w:rsidRDefault="00056513" w:rsidP="00056513">
      <w:pPr>
        <w:spacing w:after="0" w:line="240" w:lineRule="auto"/>
        <w:ind w:left="720" w:firstLine="720"/>
        <w:jc w:val="both"/>
        <w:rPr>
          <w:rFonts w:ascii="Times New Roman" w:eastAsia="Times New Roman" w:hAnsi="Times New Roman" w:cs="Times New Roman"/>
          <w:sz w:val="24"/>
          <w:szCs w:val="24"/>
          <w:lang w:eastAsia="uk-UA"/>
        </w:rPr>
      </w:pPr>
      <w:r w:rsidRPr="00056513">
        <w:rPr>
          <w:rFonts w:ascii="Arial" w:eastAsia="Times New Roman" w:hAnsi="Arial" w:cs="Arial"/>
          <w:i/>
          <w:iCs/>
          <w:color w:val="000000"/>
          <w:sz w:val="21"/>
          <w:szCs w:val="21"/>
          <w:lang w:eastAsia="uk-UA"/>
        </w:rPr>
        <w:t>За результатами розгляду скарги, вирішення спорів Регулятор приймає рішення про:</w:t>
      </w:r>
    </w:p>
    <w:p w:rsidR="00056513" w:rsidRPr="00056513" w:rsidRDefault="00056513" w:rsidP="00056513">
      <w:pPr>
        <w:numPr>
          <w:ilvl w:val="1"/>
          <w:numId w:val="3"/>
        </w:numPr>
        <w:spacing w:after="0" w:line="240" w:lineRule="auto"/>
        <w:jc w:val="both"/>
        <w:textAlignment w:val="baseline"/>
        <w:rPr>
          <w:rFonts w:ascii="Arial" w:eastAsia="Times New Roman" w:hAnsi="Arial" w:cs="Arial"/>
          <w:color w:val="858585"/>
          <w:sz w:val="21"/>
          <w:szCs w:val="21"/>
          <w:lang w:eastAsia="uk-UA"/>
        </w:rPr>
      </w:pPr>
      <w:r w:rsidRPr="00056513">
        <w:rPr>
          <w:rFonts w:ascii="Arial" w:eastAsia="Times New Roman" w:hAnsi="Arial" w:cs="Arial"/>
          <w:color w:val="000000"/>
          <w:sz w:val="21"/>
          <w:szCs w:val="21"/>
          <w:lang w:eastAsia="uk-UA"/>
        </w:rPr>
        <w:t>припинення порушення суб’єктом господарювання, що провадить діяльність у сфері енергетики та комунальних послуг, законодавства у відповідній сфері;</w:t>
      </w:r>
    </w:p>
    <w:p w:rsidR="00056513" w:rsidRPr="00056513" w:rsidRDefault="00056513" w:rsidP="00056513">
      <w:pPr>
        <w:numPr>
          <w:ilvl w:val="1"/>
          <w:numId w:val="3"/>
        </w:numPr>
        <w:spacing w:after="0" w:line="240" w:lineRule="auto"/>
        <w:jc w:val="both"/>
        <w:textAlignment w:val="baseline"/>
        <w:rPr>
          <w:rFonts w:ascii="Arial" w:eastAsia="Times New Roman" w:hAnsi="Arial" w:cs="Arial"/>
          <w:color w:val="858585"/>
          <w:sz w:val="21"/>
          <w:szCs w:val="21"/>
          <w:lang w:eastAsia="uk-UA"/>
        </w:rPr>
      </w:pPr>
      <w:r w:rsidRPr="00056513">
        <w:rPr>
          <w:rFonts w:ascii="Arial" w:eastAsia="Times New Roman" w:hAnsi="Arial" w:cs="Arial"/>
          <w:color w:val="000000"/>
          <w:sz w:val="21"/>
          <w:szCs w:val="21"/>
          <w:lang w:eastAsia="uk-UA"/>
        </w:rPr>
        <w:t>припинення порушення суб’єктом господарювання, що провадить діяльність у сферах енергетики та комунальних послуг, ліцензійних умов;</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накладення штрафу на суб’єкта господарювання, що провадить діяльність у сферах енергетики та комунальних послуг, у встановленому порядку;</w:t>
      </w: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припинення розгляду звернення заявника.</w:t>
      </w:r>
    </w:p>
    <w:p w:rsidR="00056513" w:rsidRPr="00056513" w:rsidRDefault="00056513" w:rsidP="00056513">
      <w:pPr>
        <w:spacing w:after="0" w:line="240" w:lineRule="auto"/>
        <w:rPr>
          <w:rFonts w:ascii="Times New Roman" w:eastAsia="Times New Roman" w:hAnsi="Times New Roman" w:cs="Times New Roman"/>
          <w:sz w:val="24"/>
          <w:szCs w:val="24"/>
          <w:lang w:eastAsia="uk-UA"/>
        </w:rPr>
      </w:pPr>
    </w:p>
    <w:p w:rsidR="00056513" w:rsidRPr="00056513" w:rsidRDefault="00056513" w:rsidP="00056513">
      <w:pPr>
        <w:spacing w:after="0" w:line="240" w:lineRule="auto"/>
        <w:ind w:left="720"/>
        <w:jc w:val="both"/>
        <w:rPr>
          <w:rFonts w:ascii="Times New Roman" w:eastAsia="Times New Roman" w:hAnsi="Times New Roman" w:cs="Times New Roman"/>
          <w:sz w:val="24"/>
          <w:szCs w:val="24"/>
          <w:lang w:eastAsia="uk-UA"/>
        </w:rPr>
      </w:pPr>
      <w:r w:rsidRPr="00056513">
        <w:rPr>
          <w:rFonts w:ascii="Arial" w:eastAsia="Times New Roman" w:hAnsi="Arial" w:cs="Arial"/>
          <w:color w:val="000000"/>
          <w:sz w:val="21"/>
          <w:szCs w:val="21"/>
          <w:lang w:eastAsia="uk-UA"/>
        </w:rPr>
        <w:t> </w:t>
      </w:r>
      <w:r w:rsidRPr="00056513">
        <w:rPr>
          <w:rFonts w:ascii="Arial" w:eastAsia="Times New Roman" w:hAnsi="Arial" w:cs="Arial"/>
          <w:i/>
          <w:iCs/>
          <w:color w:val="000000"/>
          <w:sz w:val="21"/>
          <w:szCs w:val="21"/>
          <w:lang w:eastAsia="uk-UA"/>
        </w:rPr>
        <w:t>Рішення Регулятора надається суб’єкту господарювання, що провадить діяльність у сферах енергетики та комунальних послуг, шляхом надсилання або вручення під розписку. Рішення, прийняте Регулятором у ході досудового розгляду спору, є обов’язковим до виконання учасниками спору і може бути оскаржене в суді.</w:t>
      </w:r>
    </w:p>
    <w:p w:rsidR="00056513" w:rsidRDefault="00056513"/>
    <w:sectPr w:rsidR="000565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F0BAA"/>
    <w:multiLevelType w:val="multilevel"/>
    <w:tmpl w:val="5140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C2615B"/>
    <w:multiLevelType w:val="multilevel"/>
    <w:tmpl w:val="5C36F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D48F8"/>
    <w:multiLevelType w:val="multilevel"/>
    <w:tmpl w:val="30D81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13"/>
    <w:rsid w:val="00056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039D-0750-40E8-9318-7C9C2356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51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4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5171</Words>
  <Characters>2949</Characters>
  <Application>Microsoft Office Word</Application>
  <DocSecurity>0</DocSecurity>
  <Lines>24</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Ivanovych</dc:creator>
  <cp:keywords/>
  <dc:description/>
  <cp:lastModifiedBy>Mariya Ivanovych</cp:lastModifiedBy>
  <cp:revision>1</cp:revision>
  <dcterms:created xsi:type="dcterms:W3CDTF">2020-04-28T13:01:00Z</dcterms:created>
  <dcterms:modified xsi:type="dcterms:W3CDTF">2020-04-28T13:02:00Z</dcterms:modified>
</cp:coreProperties>
</file>